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BA2BE">
      <w:pPr>
        <w:spacing w:after="0" w:line="320" w:lineRule="exact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附件 1</w:t>
      </w:r>
    </w:p>
    <w:p w14:paraId="2B793BF0">
      <w:pPr>
        <w:spacing w:after="0" w:line="200" w:lineRule="exact"/>
        <w:rPr>
          <w:rFonts w:eastAsiaTheme="minorEastAsia"/>
        </w:rPr>
      </w:pPr>
    </w:p>
    <w:p w14:paraId="23945DBE">
      <w:pPr>
        <w:spacing w:after="0" w:line="200" w:lineRule="exact"/>
        <w:rPr>
          <w:rFonts w:eastAsiaTheme="minorEastAsia"/>
        </w:rPr>
      </w:pPr>
    </w:p>
    <w:p w14:paraId="0E0C4BBE">
      <w:pPr>
        <w:spacing w:after="0" w:line="200" w:lineRule="exact"/>
        <w:rPr>
          <w:rFonts w:eastAsiaTheme="minorEastAsia"/>
        </w:rPr>
      </w:pPr>
    </w:p>
    <w:p w14:paraId="21B776B2">
      <w:pPr>
        <w:spacing w:after="0" w:line="303" w:lineRule="exact"/>
        <w:rPr>
          <w:rFonts w:eastAsiaTheme="minorEastAsia"/>
        </w:rPr>
      </w:pPr>
    </w:p>
    <w:p w14:paraId="395AE112">
      <w:pPr>
        <w:spacing w:after="0" w:line="366" w:lineRule="exact"/>
        <w:ind w:right="6"/>
        <w:jc w:val="center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2025 年“超星杯”山西省高校大学生书评大赛</w:t>
      </w:r>
    </w:p>
    <w:p w14:paraId="2B17B402">
      <w:pPr>
        <w:spacing w:after="0" w:line="259" w:lineRule="exact"/>
        <w:rPr>
          <w:rFonts w:eastAsiaTheme="minorEastAsia"/>
        </w:rPr>
      </w:pPr>
    </w:p>
    <w:p w14:paraId="1F082A8F">
      <w:pPr>
        <w:spacing w:after="0" w:line="366" w:lineRule="exact"/>
        <w:ind w:right="6"/>
        <w:jc w:val="center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评选办法</w:t>
      </w:r>
    </w:p>
    <w:p w14:paraId="35987E98">
      <w:pPr>
        <w:spacing w:after="0" w:line="200" w:lineRule="exact"/>
        <w:rPr>
          <w:rFonts w:eastAsiaTheme="minorEastAsia"/>
        </w:rPr>
      </w:pPr>
    </w:p>
    <w:p w14:paraId="1954C8D7">
      <w:pPr>
        <w:spacing w:after="0" w:line="200" w:lineRule="exact"/>
        <w:rPr>
          <w:rFonts w:eastAsiaTheme="minorEastAsia"/>
        </w:rPr>
      </w:pPr>
    </w:p>
    <w:p w14:paraId="2A28E42B">
      <w:pPr>
        <w:spacing w:after="0" w:line="200" w:lineRule="exact"/>
        <w:rPr>
          <w:rFonts w:eastAsiaTheme="minorEastAsia"/>
        </w:rPr>
      </w:pPr>
    </w:p>
    <w:p w14:paraId="0E705BE2">
      <w:pPr>
        <w:spacing w:after="0" w:line="254" w:lineRule="exact"/>
        <w:rPr>
          <w:rFonts w:eastAsiaTheme="minorEastAsia"/>
        </w:rPr>
      </w:pPr>
    </w:p>
    <w:p w14:paraId="04B500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一、活动组织</w:t>
      </w:r>
    </w:p>
    <w:p w14:paraId="7F08D5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活动分两个阶段组织开展。</w:t>
      </w:r>
    </w:p>
    <w:p w14:paraId="2CC618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第一阶段：由学院指导教师根据本活动“评审标准”（见后），对提交作品组织评审，完成初评，结果推荐到省高校图工委进行终评。参赛作品统一提交至超星学习通中 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 xml:space="preserve"> 年“超星杯”山西省高校大学生书评大赛（邀请码为“sxsdshd”）页面。具体方法见附件 3 投稿指南。</w:t>
      </w:r>
    </w:p>
    <w:p w14:paraId="71A331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第二阶段：由省高校图工委组织业界知名专家评委，在 6 月 15 日前对各高校推荐的书评作品进行终评，之后公示获奖名单，并择机举办全省范围的颁奖活动（活动内容和时间另行通知）。</w:t>
      </w:r>
    </w:p>
    <w:p w14:paraId="79CB8AE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作品评选</w:t>
      </w:r>
    </w:p>
    <w:p w14:paraId="4C2A88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初评：按参赛总篇数的 10%推荐（禁止提交虚假参赛作品信息，一经发现，取消参赛资格）；初评前学院进行查重检测，学生也可自助查重，方法见附件 3第五条说明，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正式提交前须确保</w:t>
      </w:r>
      <w:r>
        <w:rPr>
          <w:rFonts w:hint="eastAsia" w:asciiTheme="minorEastAsia" w:hAnsiTheme="minorEastAsia" w:eastAsiaTheme="minorEastAsia" w:cstheme="minorEastAsia"/>
        </w:rPr>
        <w:t>重复度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</w:rPr>
        <w:t>超过 20%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否则</w:t>
      </w:r>
      <w:r>
        <w:rPr>
          <w:rFonts w:hint="eastAsia" w:asciiTheme="minorEastAsia" w:hAnsiTheme="minorEastAsia" w:eastAsiaTheme="minorEastAsia" w:cstheme="minorEastAsia"/>
        </w:rPr>
        <w:t>不予推荐。</w:t>
      </w:r>
    </w:p>
    <w:p w14:paraId="332EA0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终评：给出终评意见，产生获奖名单。</w:t>
      </w:r>
    </w:p>
    <w:p w14:paraId="02C49C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二、作品评选</w:t>
      </w:r>
    </w:p>
    <w:p w14:paraId="612ED8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初评：各组织单位对推荐的每篇文章，必须附上推荐理由，明确指出推荐等次（一、二、三等）及依据。按参赛总篇数（不含查重 20%以上作品）的 10%推荐（禁止提交虚假参赛作品信息，一经发现，取消该图书馆本届参赛资格）；初评作品重复度超过 20%直接拒稿。作品查重结果可在书评作品收集页面查看。</w:t>
      </w:r>
    </w:p>
    <w:p w14:paraId="38266F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终评：给出终评意见，产生获奖名单。</w:t>
      </w:r>
    </w:p>
    <w:p w14:paraId="35D7DD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三、评审标准</w:t>
      </w:r>
    </w:p>
    <w:p w14:paraId="19124D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书评内容符合当今主流意识，爱党爱国，弘扬社会主义核心价值观和科学精神，具有思想性、学术性、知识性、独创性和艺术性，符合本次大赛主题。</w:t>
      </w:r>
    </w:p>
    <w:p w14:paraId="7525FF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书评能够点出所介绍书籍的精要，叙述客观、全面、有层次，充分揭示其价值。</w:t>
      </w:r>
    </w:p>
    <w:p w14:paraId="41795F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书评对所介绍书籍的评论能做到感受真切，见解独特，有新意。</w:t>
      </w:r>
    </w:p>
    <w:p w14:paraId="3612CA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</w:rPr>
        <w:t>书评论述结合、结构完整、逻辑清晰，行文流畅，言简意赅，可读性强。</w:t>
      </w:r>
    </w:p>
    <w:p w14:paraId="260B29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</w:rPr>
        <w:t>书评为原创作品，学风正，无抄袭等学术不端行为。</w:t>
      </w:r>
    </w:p>
    <w:p w14:paraId="581C3A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以上第 1、5 项为绝对否决项，即一票否决。</w:t>
      </w:r>
    </w:p>
    <w:p w14:paraId="2284B9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四、奖项设置及奖励方式</w:t>
      </w:r>
    </w:p>
    <w:p w14:paraId="17FE17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1．参赛个人奖：大赛设一、二、三等奖和优秀奖。奖励包括证书和奖品。</w:t>
      </w:r>
    </w:p>
    <w:p w14:paraId="12ECB6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3．颁奖活动：省高校图工委将择机举办活动，同时颁发证书和奖品。</w:t>
      </w:r>
    </w:p>
    <w:p w14:paraId="42FD1A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  <w:r>
        <w:rPr>
          <w:rFonts w:hint="eastAsia" w:asciiTheme="minorEastAsia" w:hAnsiTheme="minorEastAsia" w:eastAsiaTheme="minorEastAsia" w:cstheme="minorEastAsia"/>
        </w:rPr>
        <w:t>4．获奖书评会在省高校图工委所办《晋图学刊》公号上发布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 w14:paraId="713FBB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B374B"/>
    <w:multiLevelType w:val="singleLevel"/>
    <w:tmpl w:val="842B37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65A47"/>
    <w:rsid w:val="6846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2025-03-13T06:56:00Z</dcterms:created>
  <dc:creator>7</dc:creator>
  <cp:lastModifiedBy>7</cp:lastModifiedBy>
  <dcterms:modified xsi:type="dcterms:W3CDTF">2025-03-13T06:57:55Z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82D49537630D4FA3AD4BFD4C52F3166C_11</vt:lpwstr>
  </property>
  <property fmtid="{D5CDD505-2E9C-101B-9397-08002B2CF9AE}" pid="4" name="KSOTemplateDocerSaveRecord">
    <vt:lpwstr>eyJoZGlkIjoiOTY5N2NlNzVlYjFiMzVmMzU3MzkxZjFlMDQ1NjRjNzgiLCJ1c2VySWQiOiI1NzM0OTY0NjcifQ==</vt:lpwstr>
  </property>
</Properties>
</file>